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0" w:rsidRPr="008D4170" w:rsidRDefault="00E46760" w:rsidP="00E46760">
      <w:pPr>
        <w:pStyle w:val="Nessunaspaziatura"/>
        <w:rPr>
          <w:rFonts w:ascii="Times New Roman" w:hAnsi="Times New Roman" w:cs="Times New Roman"/>
          <w:sz w:val="20"/>
          <w:szCs w:val="20"/>
        </w:rPr>
      </w:pPr>
      <w:r w:rsidRPr="008D4170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E1FE223" wp14:editId="68332271">
            <wp:extent cx="1524000" cy="453292"/>
            <wp:effectExtent l="0" t="0" r="0" b="4445"/>
            <wp:docPr id="6" name="Immagine 6" descr="CDC_RGB_L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_RGB_L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18" cy="4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170">
        <w:rPr>
          <w:rFonts w:ascii="Times New Roman" w:hAnsi="Times New Roman" w:cs="Times New Roman"/>
          <w:i/>
        </w:rPr>
        <w:t xml:space="preserve">Relazioni con i </w:t>
      </w:r>
      <w:r>
        <w:rPr>
          <w:rFonts w:ascii="Times New Roman" w:hAnsi="Times New Roman" w:cs="Times New Roman"/>
          <w:i/>
        </w:rPr>
        <w:t xml:space="preserve"> </w:t>
      </w:r>
      <w:r w:rsidRPr="008D4170">
        <w:rPr>
          <w:rFonts w:ascii="Times New Roman" w:hAnsi="Times New Roman" w:cs="Times New Roman"/>
          <w:i/>
        </w:rPr>
        <w:t>media tel. 02/8515.5224-52</w:t>
      </w:r>
      <w:r w:rsidR="00317574">
        <w:rPr>
          <w:rFonts w:ascii="Times New Roman" w:hAnsi="Times New Roman" w:cs="Times New Roman"/>
          <w:i/>
        </w:rPr>
        <w:t>9</w:t>
      </w:r>
      <w:r w:rsidRPr="008D4170">
        <w:rPr>
          <w:rFonts w:ascii="Times New Roman" w:hAnsi="Times New Roman" w:cs="Times New Roman"/>
          <w:i/>
        </w:rPr>
        <w:t xml:space="preserve">8, 3356413321. </w:t>
      </w:r>
      <w:hyperlink r:id="rId7" w:history="1">
        <w:r w:rsidRPr="008D4170">
          <w:rPr>
            <w:rFonts w:ascii="Times New Roman" w:hAnsi="Times New Roman" w:cs="Times New Roman"/>
            <w:i/>
            <w:color w:val="0000FF"/>
            <w:u w:val="single"/>
          </w:rPr>
          <w:t>www.mi.camcom.it</w:t>
        </w:r>
      </w:hyperlink>
    </w:p>
    <w:p w:rsidR="00CC6D91" w:rsidRPr="00024878" w:rsidRDefault="00CC6D91" w:rsidP="006E18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37AA" w:rsidRPr="00EC4FF0" w:rsidRDefault="00B4028B" w:rsidP="00BD09E0">
      <w:pPr>
        <w:spacing w:after="0"/>
        <w:jc w:val="center"/>
        <w:rPr>
          <w:rFonts w:ascii="Times New Roman" w:hAnsi="Times New Roman" w:cs="Times New Roman"/>
          <w:b/>
          <w:sz w:val="70"/>
          <w:szCs w:val="70"/>
        </w:rPr>
      </w:pPr>
      <w:r w:rsidRPr="00EC4FF0">
        <w:rPr>
          <w:rFonts w:ascii="Times New Roman" w:hAnsi="Times New Roman" w:cs="Times New Roman"/>
          <w:b/>
          <w:sz w:val="70"/>
          <w:szCs w:val="70"/>
        </w:rPr>
        <w:t xml:space="preserve">Milano, </w:t>
      </w:r>
      <w:r w:rsidR="002E47F1" w:rsidRPr="00EC4FF0">
        <w:rPr>
          <w:rFonts w:ascii="Times New Roman" w:hAnsi="Times New Roman" w:cs="Times New Roman"/>
          <w:b/>
          <w:sz w:val="70"/>
          <w:szCs w:val="70"/>
        </w:rPr>
        <w:t xml:space="preserve">la </w:t>
      </w:r>
      <w:r w:rsidRPr="00EC4FF0">
        <w:rPr>
          <w:rFonts w:ascii="Times New Roman" w:hAnsi="Times New Roman" w:cs="Times New Roman"/>
          <w:b/>
          <w:sz w:val="70"/>
          <w:szCs w:val="70"/>
        </w:rPr>
        <w:t>cultura</w:t>
      </w:r>
      <w:r w:rsidR="002E47F1" w:rsidRPr="00EC4FF0">
        <w:rPr>
          <w:rFonts w:ascii="Times New Roman" w:hAnsi="Times New Roman" w:cs="Times New Roman"/>
          <w:b/>
          <w:sz w:val="70"/>
          <w:szCs w:val="70"/>
        </w:rPr>
        <w:t xml:space="preserve"> cerca </w:t>
      </w:r>
      <w:r w:rsidR="00EC4FF0" w:rsidRPr="00EC4FF0">
        <w:rPr>
          <w:rFonts w:ascii="Times New Roman" w:hAnsi="Times New Roman" w:cs="Times New Roman"/>
          <w:b/>
          <w:sz w:val="70"/>
          <w:szCs w:val="70"/>
        </w:rPr>
        <w:t>“</w:t>
      </w:r>
      <w:r w:rsidR="002E47F1" w:rsidRPr="00EC4FF0">
        <w:rPr>
          <w:rFonts w:ascii="Times New Roman" w:hAnsi="Times New Roman" w:cs="Times New Roman"/>
          <w:b/>
          <w:sz w:val="70"/>
          <w:szCs w:val="70"/>
        </w:rPr>
        <w:t>partner</w:t>
      </w:r>
      <w:r w:rsidR="00EC4FF0" w:rsidRPr="00EC4FF0">
        <w:rPr>
          <w:rFonts w:ascii="Times New Roman" w:hAnsi="Times New Roman" w:cs="Times New Roman"/>
          <w:b/>
          <w:sz w:val="70"/>
          <w:szCs w:val="70"/>
        </w:rPr>
        <w:t>”</w:t>
      </w:r>
      <w:r w:rsidR="002E47F1" w:rsidRPr="00EC4FF0">
        <w:rPr>
          <w:rFonts w:ascii="Times New Roman" w:hAnsi="Times New Roman" w:cs="Times New Roman"/>
          <w:b/>
          <w:sz w:val="70"/>
          <w:szCs w:val="70"/>
        </w:rPr>
        <w:t xml:space="preserve"> </w:t>
      </w:r>
      <w:r w:rsidRPr="00EC4FF0">
        <w:rPr>
          <w:rFonts w:ascii="Times New Roman" w:hAnsi="Times New Roman" w:cs="Times New Roman"/>
          <w:b/>
          <w:sz w:val="70"/>
          <w:szCs w:val="70"/>
        </w:rPr>
        <w:t xml:space="preserve"> </w:t>
      </w:r>
    </w:p>
    <w:p w:rsidR="002E47F1" w:rsidRDefault="002E47F1" w:rsidP="00BD09E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Uno sportello collega operatori culturali e imprese</w:t>
      </w:r>
    </w:p>
    <w:p w:rsidR="00BD09E0" w:rsidRPr="00B4028B" w:rsidRDefault="00B4028B" w:rsidP="00BD09E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028B">
        <w:rPr>
          <w:rFonts w:ascii="Times New Roman" w:hAnsi="Times New Roman" w:cs="Times New Roman"/>
          <w:b/>
          <w:sz w:val="44"/>
          <w:szCs w:val="44"/>
        </w:rPr>
        <w:t xml:space="preserve">Al via oggi </w:t>
      </w:r>
      <w:r>
        <w:rPr>
          <w:rFonts w:ascii="Times New Roman" w:hAnsi="Times New Roman" w:cs="Times New Roman"/>
          <w:b/>
          <w:sz w:val="44"/>
          <w:szCs w:val="44"/>
        </w:rPr>
        <w:t xml:space="preserve">il </w:t>
      </w:r>
      <w:r w:rsidRPr="00B4028B">
        <w:rPr>
          <w:rFonts w:ascii="Times New Roman" w:hAnsi="Times New Roman" w:cs="Times New Roman"/>
          <w:b/>
          <w:sz w:val="44"/>
          <w:szCs w:val="44"/>
        </w:rPr>
        <w:t>progetto formativo gratuito “The Bridge”</w:t>
      </w:r>
    </w:p>
    <w:p w:rsidR="00C71C90" w:rsidRDefault="00574965" w:rsidP="006E18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9E0">
        <w:rPr>
          <w:rFonts w:ascii="Times New Roman" w:hAnsi="Times New Roman" w:cs="Times New Roman"/>
          <w:b/>
          <w:sz w:val="32"/>
          <w:szCs w:val="32"/>
        </w:rPr>
        <w:t xml:space="preserve">Dalla mostra </w:t>
      </w:r>
      <w:r w:rsidR="00F26920">
        <w:rPr>
          <w:rFonts w:ascii="Times New Roman" w:hAnsi="Times New Roman" w:cs="Times New Roman"/>
          <w:b/>
          <w:sz w:val="32"/>
          <w:szCs w:val="32"/>
        </w:rPr>
        <w:t>sulle f</w:t>
      </w:r>
      <w:bookmarkStart w:id="0" w:name="_GoBack"/>
      <w:bookmarkEnd w:id="0"/>
      <w:r w:rsidR="00F26920">
        <w:rPr>
          <w:rFonts w:ascii="Times New Roman" w:hAnsi="Times New Roman" w:cs="Times New Roman"/>
          <w:b/>
          <w:sz w:val="32"/>
          <w:szCs w:val="32"/>
        </w:rPr>
        <w:t xml:space="preserve">abbriche dell’area sud </w:t>
      </w:r>
      <w:r w:rsidRPr="00BD09E0">
        <w:rPr>
          <w:rFonts w:ascii="Times New Roman" w:hAnsi="Times New Roman" w:cs="Times New Roman"/>
          <w:b/>
          <w:sz w:val="32"/>
          <w:szCs w:val="32"/>
        </w:rPr>
        <w:t xml:space="preserve">Milano </w:t>
      </w:r>
      <w:r w:rsidR="00F26920">
        <w:rPr>
          <w:rFonts w:ascii="Times New Roman" w:hAnsi="Times New Roman" w:cs="Times New Roman"/>
          <w:b/>
          <w:sz w:val="32"/>
          <w:szCs w:val="32"/>
        </w:rPr>
        <w:t>alla fiera della scultura</w:t>
      </w:r>
    </w:p>
    <w:p w:rsidR="00736370" w:rsidRPr="00BD09E0" w:rsidRDefault="00B4028B" w:rsidP="006E18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</w:t>
      </w:r>
      <w:r w:rsidR="00574965" w:rsidRPr="00BD09E0">
        <w:rPr>
          <w:rFonts w:ascii="Times New Roman" w:hAnsi="Times New Roman" w:cs="Times New Roman"/>
          <w:b/>
          <w:sz w:val="32"/>
          <w:szCs w:val="32"/>
        </w:rPr>
        <w:t>a Leonardo che “racconta” la propria vita al giro del mondo in 205 scatti</w:t>
      </w:r>
    </w:p>
    <w:p w:rsidR="00984D26" w:rsidRDefault="00984D26" w:rsidP="006525E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84D26">
        <w:rPr>
          <w:rFonts w:ascii="Times New Roman" w:hAnsi="Times New Roman" w:cs="Times New Roman"/>
          <w:i/>
          <w:sz w:val="32"/>
          <w:szCs w:val="32"/>
        </w:rPr>
        <w:t xml:space="preserve">A Milano 14 mila le imprese nel settore culturale </w:t>
      </w:r>
    </w:p>
    <w:p w:rsidR="00C076E0" w:rsidRPr="00C076E0" w:rsidRDefault="00C076E0" w:rsidP="006525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7E08A0" w:rsidRDefault="00BC7E96" w:rsidP="00AD4F61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7E08A0">
        <w:rPr>
          <w:rFonts w:ascii="Times New Roman" w:hAnsi="Times New Roman" w:cs="Times New Roman"/>
          <w:sz w:val="28"/>
          <w:szCs w:val="28"/>
        </w:rPr>
        <w:t xml:space="preserve">Milano, </w:t>
      </w:r>
      <w:r w:rsidR="00C71C90" w:rsidRPr="007E08A0">
        <w:rPr>
          <w:rFonts w:ascii="Times New Roman" w:hAnsi="Times New Roman" w:cs="Times New Roman"/>
          <w:sz w:val="28"/>
          <w:szCs w:val="28"/>
        </w:rPr>
        <w:t>13 febbraio 2017</w:t>
      </w:r>
      <w:r w:rsidRPr="007E08A0">
        <w:rPr>
          <w:rFonts w:ascii="Times New Roman" w:hAnsi="Times New Roman" w:cs="Times New Roman"/>
          <w:sz w:val="28"/>
          <w:szCs w:val="28"/>
        </w:rPr>
        <w:t>.</w:t>
      </w:r>
      <w:r w:rsidR="008F0CCD" w:rsidRPr="00AD4F61">
        <w:rPr>
          <w:rFonts w:ascii="Times New Roman" w:hAnsi="Times New Roman" w:cs="Times New Roman"/>
          <w:sz w:val="28"/>
          <w:szCs w:val="28"/>
        </w:rPr>
        <w:t xml:space="preserve"> </w:t>
      </w:r>
      <w:r w:rsidR="00AD4F61" w:rsidRPr="00AD4F61">
        <w:rPr>
          <w:rFonts w:ascii="Times New Roman" w:hAnsi="Times New Roman" w:cs="Times New Roman"/>
          <w:sz w:val="28"/>
          <w:szCs w:val="28"/>
        </w:rPr>
        <w:t>Dalla mostra sulle fabbriche dell’area sud Milano alla fiera della scultura</w:t>
      </w:r>
      <w:r w:rsidR="00AD4F61">
        <w:rPr>
          <w:rFonts w:ascii="Times New Roman" w:hAnsi="Times New Roman" w:cs="Times New Roman"/>
          <w:sz w:val="28"/>
          <w:szCs w:val="28"/>
        </w:rPr>
        <w:t>, d</w:t>
      </w:r>
      <w:r w:rsidR="00AD4F61" w:rsidRPr="00AD4F61">
        <w:rPr>
          <w:rFonts w:ascii="Times New Roman" w:hAnsi="Times New Roman" w:cs="Times New Roman"/>
          <w:sz w:val="28"/>
          <w:szCs w:val="28"/>
        </w:rPr>
        <w:t>a Leonardo che “racconta” la propria vita al giro del mondo in 205 scatti</w:t>
      </w:r>
      <w:r w:rsidR="00AD4F61">
        <w:rPr>
          <w:rFonts w:ascii="Times New Roman" w:hAnsi="Times New Roman" w:cs="Times New Roman"/>
          <w:sz w:val="28"/>
          <w:szCs w:val="28"/>
        </w:rPr>
        <w:t>: s</w:t>
      </w:r>
      <w:r w:rsidR="007E08A0" w:rsidRPr="00AD4F61">
        <w:rPr>
          <w:rFonts w:ascii="Times New Roman" w:hAnsi="Times New Roman" w:cs="Times New Roman"/>
          <w:sz w:val="28"/>
          <w:szCs w:val="28"/>
        </w:rPr>
        <w:t>ono alcuni dei progetti dello Sportello per le Partnership culturali della Camera di commercio di Milano (</w:t>
      </w:r>
      <w:hyperlink r:id="rId8" w:tgtFrame="_blank" w:history="1">
        <w:r w:rsidR="007E08A0" w:rsidRPr="00AD4F61">
          <w:rPr>
            <w:rFonts w:ascii="Times New Roman" w:hAnsi="Times New Roman" w:cs="Times New Roman"/>
            <w:sz w:val="28"/>
            <w:szCs w:val="28"/>
          </w:rPr>
          <w:t>http://www.mi.camcom.it/eventi-dello-sportello-per-le-sponsorizzazioni-culturali</w:t>
        </w:r>
      </w:hyperlink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)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che oggi propone il primo appuntamento gratuito per la formazione delle imprese culturali</w:t>
      </w:r>
      <w:r w:rsidR="00AD4F61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nell’ambito del nuovo progetto “The Bridge”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. </w:t>
      </w:r>
    </w:p>
    <w:p w:rsidR="007E08A0" w:rsidRPr="007E08A0" w:rsidRDefault="00AD4F61" w:rsidP="007E0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L’appuntamento </w:t>
      </w:r>
      <w:r w:rsidR="007E08A0" w:rsidRPr="007E08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oggi 13 febbraio, alle ore 14.30, a Palazzo Giureconsulti, in </w:t>
      </w:r>
      <w:r w:rsidR="007E08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v</w:t>
      </w:r>
      <w:r w:rsidR="007E08A0" w:rsidRPr="007E08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ia Mercanti 2 a Milano 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durante l’incontro “Progettare, proporre e gestire efficacemente Partnership e Sponsorizzazioni culturali”. Il primo degli appuntamenti del progetto “The Bridge”, un’iniziativa dello Sportello per le Partnership culturali della Camera di Commercio di Milano che vuole fornire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agli 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o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peratori 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ulturali e alle 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mprese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contenuti e metodologie in grado di accrescere le competenze e il dialogo sulle 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artnership culturali. Un format che propone una serie di incontri rivolti a rappresentanti, manager, agenzie di comunicazione per conoscere meglio i vantaggi dell’investire in cultura. Questo primo incontro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fornisce informazioni di scenario e strategiche, percorsi pratici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opportunità di conoscere aziende dinamiche nella </w:t>
      </w:r>
      <w:r w:rsid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</w:t>
      </w:r>
      <w:r w:rsidR="007E08A0"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ultura sul territorio milanese.</w:t>
      </w:r>
    </w:p>
    <w:p w:rsidR="0093571C" w:rsidRPr="007E08A0" w:rsidRDefault="007E08A0" w:rsidP="00935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7E08A0">
        <w:rPr>
          <w:rFonts w:ascii="Times New Roman" w:hAnsi="Times New Roman" w:cs="Times New Roman"/>
          <w:b/>
          <w:sz w:val="28"/>
          <w:szCs w:val="28"/>
        </w:rPr>
        <w:t>I progetti culturali</w:t>
      </w:r>
      <w:r>
        <w:rPr>
          <w:rFonts w:ascii="Times New Roman" w:hAnsi="Times New Roman" w:cs="Times New Roman"/>
          <w:b/>
          <w:sz w:val="28"/>
          <w:szCs w:val="28"/>
        </w:rPr>
        <w:t xml:space="preserve"> in cerca di partnership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4F61">
        <w:rPr>
          <w:rFonts w:ascii="Times New Roman" w:hAnsi="Times New Roman" w:cs="Times New Roman"/>
          <w:sz w:val="28"/>
          <w:szCs w:val="28"/>
        </w:rPr>
        <w:t>Tra i progetti seguiti dallo Sportello per le Partnership culturali della Camera di commercio: d</w:t>
      </w:r>
      <w:r w:rsidR="008F0CCD" w:rsidRPr="007E08A0">
        <w:rPr>
          <w:rFonts w:ascii="Times New Roman" w:hAnsi="Times New Roman" w:cs="Times New Roman"/>
          <w:sz w:val="28"/>
          <w:szCs w:val="28"/>
        </w:rPr>
        <w:t xml:space="preserve">alle opere d’arte realizzate dai ragazzi di tutte le scuole milanesi per interpretare Milano </w:t>
      </w:r>
      <w:r w:rsidR="0093571C" w:rsidRPr="007E08A0">
        <w:rPr>
          <w:rFonts w:ascii="Times New Roman" w:hAnsi="Times New Roman" w:cs="Times New Roman"/>
          <w:sz w:val="28"/>
          <w:szCs w:val="28"/>
        </w:rPr>
        <w:t>ai</w:t>
      </w:r>
      <w:r w:rsidR="00982281" w:rsidRPr="007E08A0">
        <w:rPr>
          <w:rFonts w:ascii="Times New Roman" w:hAnsi="Times New Roman" w:cs="Times New Roman"/>
          <w:sz w:val="28"/>
          <w:szCs w:val="28"/>
        </w:rPr>
        <w:t xml:space="preserve"> 205 scatti a colori, uno per ciascun paese del mondo, per una narrazione iconografica dell'umanità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2281" w:rsidRPr="007E08A0">
        <w:rPr>
          <w:rFonts w:ascii="Times New Roman" w:hAnsi="Times New Roman" w:cs="Times New Roman"/>
          <w:sz w:val="28"/>
          <w:szCs w:val="28"/>
        </w:rPr>
        <w:t xml:space="preserve"> </w:t>
      </w:r>
      <w:r w:rsidR="008F0CCD" w:rsidRPr="007E08A0">
        <w:rPr>
          <w:rFonts w:ascii="Times New Roman" w:hAnsi="Times New Roman" w:cs="Times New Roman"/>
          <w:sz w:val="28"/>
          <w:szCs w:val="28"/>
        </w:rPr>
        <w:t xml:space="preserve">fino alla </w:t>
      </w:r>
      <w:r w:rsidR="002C0552" w:rsidRPr="007E08A0">
        <w:rPr>
          <w:rFonts w:ascii="Times New Roman" w:hAnsi="Times New Roman" w:cs="Times New Roman"/>
          <w:sz w:val="28"/>
          <w:szCs w:val="28"/>
        </w:rPr>
        <w:t>mostra sui pionieri del ciclismo</w:t>
      </w:r>
      <w:r w:rsidR="008F0CCD" w:rsidRPr="007E08A0">
        <w:rPr>
          <w:rFonts w:ascii="Times New Roman" w:hAnsi="Times New Roman" w:cs="Times New Roman"/>
          <w:sz w:val="28"/>
          <w:szCs w:val="28"/>
        </w:rPr>
        <w:t>. Ma si possono anche “vedere” in chiave artistica le forme necessarie di energia per creare un futuro migliore e “sentire” la vita di Leonardo raccontata in prima persona grazie ad un linguaggio multimediale moderno, che vede il visitatore come parte attiva dell'esposizione.</w:t>
      </w:r>
      <w:r w:rsidR="00F26920" w:rsidRPr="007E08A0">
        <w:rPr>
          <w:rFonts w:ascii="Times New Roman" w:hAnsi="Times New Roman" w:cs="Times New Roman"/>
          <w:sz w:val="28"/>
          <w:szCs w:val="28"/>
        </w:rPr>
        <w:t xml:space="preserve"> </w:t>
      </w:r>
      <w:r w:rsidR="00AD4F61" w:rsidRPr="007E08A0">
        <w:rPr>
          <w:rFonts w:ascii="Times New Roman" w:hAnsi="Times New Roman" w:cs="Times New Roman"/>
          <w:sz w:val="28"/>
          <w:szCs w:val="28"/>
        </w:rPr>
        <w:t xml:space="preserve">Dalla valorizzazione dei maestri d’arte contemporanea che hanno operato fra gli anni 50’ e 70’ alla mostra fotografica con l’indagine storico-urbanistica sulle fabbriche </w:t>
      </w:r>
      <w:r w:rsidR="00AD4F61">
        <w:rPr>
          <w:rFonts w:ascii="Times New Roman" w:hAnsi="Times New Roman" w:cs="Times New Roman"/>
          <w:sz w:val="28"/>
          <w:szCs w:val="28"/>
        </w:rPr>
        <w:t>d</w:t>
      </w:r>
      <w:r w:rsidR="00AD4F61" w:rsidRPr="007E08A0">
        <w:rPr>
          <w:rFonts w:ascii="Times New Roman" w:hAnsi="Times New Roman" w:cs="Times New Roman"/>
          <w:sz w:val="28"/>
          <w:szCs w:val="28"/>
        </w:rPr>
        <w:t>ella zona sud di Milano negli anni '70-'80. E poi la fiera tematica annuale dedicata alla scultura o l</w:t>
      </w:r>
      <w:r w:rsidR="00AD4F61">
        <w:rPr>
          <w:rFonts w:ascii="Times New Roman" w:hAnsi="Times New Roman" w:cs="Times New Roman"/>
          <w:sz w:val="28"/>
          <w:szCs w:val="28"/>
        </w:rPr>
        <w:t>e</w:t>
      </w:r>
      <w:r w:rsidR="00AD4F61" w:rsidRPr="007E08A0">
        <w:rPr>
          <w:rFonts w:ascii="Times New Roman" w:hAnsi="Times New Roman" w:cs="Times New Roman"/>
          <w:sz w:val="28"/>
          <w:szCs w:val="28"/>
        </w:rPr>
        <w:t xml:space="preserve"> fotografie </w:t>
      </w:r>
      <w:r w:rsidR="00AD4F61" w:rsidRPr="007E08A0">
        <w:rPr>
          <w:rFonts w:ascii="Times New Roman" w:hAnsi="Times New Roman" w:cs="Times New Roman"/>
          <w:i/>
          <w:sz w:val="28"/>
          <w:szCs w:val="28"/>
        </w:rPr>
        <w:t>vintage</w:t>
      </w:r>
      <w:r w:rsidR="00AD4F61" w:rsidRPr="007E08A0">
        <w:rPr>
          <w:rFonts w:ascii="Times New Roman" w:hAnsi="Times New Roman" w:cs="Times New Roman"/>
          <w:sz w:val="28"/>
          <w:szCs w:val="28"/>
        </w:rPr>
        <w:t xml:space="preserve"> per la prima volta in mostra a Milano.</w:t>
      </w:r>
    </w:p>
    <w:p w:rsidR="00984D26" w:rsidRPr="007E08A0" w:rsidRDefault="00984D26" w:rsidP="00984D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8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A Milano sono oltre 14 mila le imprese nel settore culturale </w:t>
      </w:r>
      <w:r w:rsidRPr="007E08A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(tra editoria, attività artistiche e di intrattenimento, biblioteche e musei, istruzione, ricerca, pubblicità, design e fotografia), +0,7% nell’ultimo anno. Sono più di 5 mila quelle che operano nella pubblicità e nelle ricerche di mercato, seguite dalle attività di design (1.772) in crescita del 4,1%, da quelle creative, artistiche e di intrattenimento (1.333), +0,6% e da quelle di produzione cinematografica e video (1.294), +2,8%. </w:t>
      </w:r>
      <w:r w:rsidRPr="007E08A0">
        <w:rPr>
          <w:rFonts w:ascii="Times New Roman" w:eastAsia="Calibri" w:hAnsi="Times New Roman" w:cs="Times New Roman"/>
          <w:b/>
          <w:sz w:val="28"/>
          <w:szCs w:val="28"/>
        </w:rPr>
        <w:t xml:space="preserve">La cultura in Lombardia conta quasi 26 mila </w:t>
      </w:r>
      <w:r w:rsidRPr="007E08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imprese </w:t>
      </w:r>
      <w:r w:rsidRPr="007E08A0">
        <w:rPr>
          <w:rFonts w:ascii="Times New Roman" w:eastAsia="Calibri" w:hAnsi="Times New Roman" w:cs="Times New Roman"/>
          <w:sz w:val="28"/>
          <w:szCs w:val="28"/>
        </w:rPr>
        <w:t>e rappresenta oltre un quinto del totale italiano (21,6%). Sono 8 mila quelle specializzate in design e 4 mila in pubblicità, un quarto del totale nazionale, quasi 3 mila le attività artistiche e di intrattenimento, circa 2 mila quelle fotografiche, di produzione cinematografica e video e di servizi di istruzione, quasi mille quelle impegnate in ricerca scientifica e sviluppo. Dopo Milano con oltre 14 mila, vengono Brescia con 2.465, Bergamo con 1.923 che cresce del 2,8% e Monza e Brianza con 1.636 (+1,1%). Superano le mille anche Varese e Como. Emerge da un’elaborazione della Camera di commercio di Milano su dati registro imprese 2016 e 2015.</w:t>
      </w:r>
    </w:p>
    <w:p w:rsidR="00984D26" w:rsidRPr="00984D26" w:rsidRDefault="00984D26" w:rsidP="00984D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65E64" w:rsidRDefault="00765E64" w:rsidP="00984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t-IT"/>
        </w:rPr>
      </w:pPr>
    </w:p>
    <w:p w:rsidR="00984D26" w:rsidRPr="00984D26" w:rsidRDefault="00984D26" w:rsidP="00984D2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84D26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t-IT"/>
        </w:rPr>
        <w:t>Imprese del settore cultura a Milano</w:t>
      </w:r>
    </w:p>
    <w:tbl>
      <w:tblPr>
        <w:tblW w:w="10551" w:type="dxa"/>
        <w:jc w:val="center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910"/>
        <w:gridCol w:w="1100"/>
        <w:gridCol w:w="1013"/>
        <w:gridCol w:w="1190"/>
        <w:gridCol w:w="736"/>
        <w:gridCol w:w="875"/>
        <w:gridCol w:w="612"/>
      </w:tblGrid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MILANO</w:t>
            </w:r>
          </w:p>
          <w:p w:rsidR="00984D26" w:rsidRPr="00984D26" w:rsidRDefault="00984D26" w:rsidP="00984D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2016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MILANO</w:t>
            </w:r>
          </w:p>
          <w:p w:rsidR="00984D26" w:rsidRPr="00984D26" w:rsidRDefault="00984D26" w:rsidP="00984D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2015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variaz</w:t>
            </w:r>
            <w:proofErr w:type="spellEnd"/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. % per settore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Lombardia</w:t>
            </w:r>
          </w:p>
          <w:p w:rsidR="00984D26" w:rsidRPr="00984D26" w:rsidRDefault="00984D26" w:rsidP="00984D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2016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peso %</w:t>
            </w:r>
          </w:p>
          <w:p w:rsidR="00984D26" w:rsidRPr="00984D26" w:rsidRDefault="00984D26" w:rsidP="00984D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 xml:space="preserve">su </w:t>
            </w:r>
            <w:proofErr w:type="spellStart"/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Lomb</w:t>
            </w:r>
            <w:proofErr w:type="spellEnd"/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Tot. Italia</w:t>
            </w:r>
          </w:p>
          <w:p w:rsidR="00984D26" w:rsidRPr="00984D26" w:rsidRDefault="00984D26" w:rsidP="00984D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2016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peso %</w:t>
            </w:r>
          </w:p>
          <w:p w:rsidR="00984D26" w:rsidRPr="00984D26" w:rsidRDefault="00984D26" w:rsidP="00984D2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 xml:space="preserve">su </w:t>
            </w:r>
            <w:proofErr w:type="spellStart"/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It</w:t>
            </w:r>
            <w:proofErr w:type="spellEnd"/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J 59 Attività di produzione cinematografica, di video e di pro.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         1.294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1.259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2,8%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 1.945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9.853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13,1%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J 60 Attività di programmazione e trasmissione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134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-5,0%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238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56,3%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 1.922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7,0%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 72 Ricerca scientifica e sviluppo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566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3,7%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 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59,5%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 4.619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12,3%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 73 Pubblicità e ricerche di mercato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         5.123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5.179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8.331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 31.815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16,1%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R 90 Attività creative, artistiche e di intrattenimento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         1.333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1.325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0,6%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 2.671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49,9%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 14.089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9,5%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R 91 Attività di biblioteche, archivi, musei ed altre attività...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 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197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39,6%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 1.145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6,8%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EDIZIONE DI LIBRI, PERIODICI ED ALTRE ATTIVITÀ EDITORIALI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563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-4,6%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 695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81,0%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2.388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23,6%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Edizione di libri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589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-3,0%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 821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71,7%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3.444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17,1%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Pubblicazione di elenchi e mailing list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  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 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11,1%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Edizione di quotidiani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 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-1,8%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 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63,2%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512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10,7%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Edizione di riviste e periodici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-1,4%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 567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72,3%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 2.173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18,9%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Altre attività editoriali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12,2%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 163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67,5%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686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16,0%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EDIZIONE DI SOFTWARE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 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-4,3%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 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57,9%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 168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13,1%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Edizione di giochi per computer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   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14,3%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 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24,2%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Edizione di altri software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 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14,0%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 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59,8%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 349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14,0%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Attività delle agenzie di stampa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 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7,1%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67,4%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 443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13,5%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ATTIVITÀ DI DESIGN SPECIALIZZATE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         1.772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1.702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4,1%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 4.266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41,5%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 17.200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10,3%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ATTIVITÀ FOTOGRAFICHE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0,9%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2.152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42,8%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 13.537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6,8%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ISTRUZIONE POST-SECONDARIA UNIVERSITARIA E NON UNIVERSITARIA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 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-5,3%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 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 405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17,8%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Istruzione post-secondaria non universitaria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   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66,7%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 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41,7%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 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7,0%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Istruzione universitaria e post-universitaria; accademie e conservatori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    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13,6%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 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53,2%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 249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10,0%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Formazione culturale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    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13,4%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 281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45,2%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 1.254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10,1%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Altri servizi di istruzione </w:t>
            </w:r>
            <w:proofErr w:type="spellStart"/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nca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  1.014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3,9%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 1.911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53,1%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 12.402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8,2%</w:t>
            </w:r>
          </w:p>
        </w:tc>
      </w:tr>
      <w:tr w:rsidR="00984D26" w:rsidRPr="00984D26" w:rsidTr="00984D26">
        <w:trPr>
          <w:trHeight w:val="20"/>
          <w:jc w:val="center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Totale settore cultura 2016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      14.332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       14.227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0,7%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                   25.643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55,9%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118.766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84D26" w:rsidRPr="00984D26" w:rsidRDefault="00984D26" w:rsidP="00984D26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12,1%</w:t>
            </w:r>
          </w:p>
        </w:tc>
      </w:tr>
    </w:tbl>
    <w:p w:rsidR="00984D26" w:rsidRPr="00984D26" w:rsidRDefault="00984D26" w:rsidP="00984D2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84D26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it-IT"/>
        </w:rPr>
        <w:t>Elaborazione Camera di commercio di Milano su dati registro imprese 2016 e 2015</w:t>
      </w:r>
    </w:p>
    <w:p w:rsidR="00AD4F61" w:rsidRDefault="00AD4F61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984D26" w:rsidRPr="00984D26" w:rsidRDefault="00984D26" w:rsidP="00984D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84D2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Imprese del settore cultura in Lombardia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496"/>
        <w:gridCol w:w="433"/>
        <w:gridCol w:w="345"/>
        <w:gridCol w:w="345"/>
        <w:gridCol w:w="404"/>
        <w:gridCol w:w="367"/>
        <w:gridCol w:w="385"/>
        <w:gridCol w:w="345"/>
        <w:gridCol w:w="385"/>
        <w:gridCol w:w="334"/>
        <w:gridCol w:w="334"/>
        <w:gridCol w:w="345"/>
        <w:gridCol w:w="373"/>
        <w:gridCol w:w="334"/>
        <w:gridCol w:w="475"/>
        <w:gridCol w:w="486"/>
        <w:gridCol w:w="467"/>
        <w:gridCol w:w="469"/>
        <w:gridCol w:w="474"/>
        <w:gridCol w:w="356"/>
        <w:gridCol w:w="368"/>
        <w:gridCol w:w="347"/>
        <w:gridCol w:w="345"/>
        <w:gridCol w:w="378"/>
        <w:gridCol w:w="273"/>
        <w:gridCol w:w="324"/>
        <w:gridCol w:w="257"/>
      </w:tblGrid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J 59 Attività di produzione cinematografica, di video e di pro...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J 60 Attività di programmazione e trasmissione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M 72 Ricerca scientifica e sviluppo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M 73 Pubblicità e ricerche di mercato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R 90 Attività creative, artistiche e di intrattenimento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R 91 Attività di biblioteche, archivi, musei ed altre attività...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EDIZIONE DI LIBRI, PERIODICI ED ALTRE ATTIVITÀ EDITORIALI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Edizione di libri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Pubblicazione di elenchi e mailing list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Edizione di quotidiani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Edizione di riviste e periodici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Altre attività editoriali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EDIZIONE DI SOFTWARE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Edizione di giochi per computer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Edizione di altri software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Attività delle agenzie di stampa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ATTIVITÀ DI DESIGN SPECIALIZZATE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ATTIVITÀ FOTOGRAFICHE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ISTRUZIONE POST-SECONDARIA UNIVERSITARIA E NON UNIVERSITARIA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Istruzione post-secondaria non universitaria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Istruzione universitaria e post-universitaria; accademie e conservatori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Formazione culturale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Altri servizi di istruzione </w:t>
            </w:r>
            <w:proofErr w:type="spellStart"/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nca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Totale settore cultura 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peso % su tot. </w:t>
            </w:r>
            <w:proofErr w:type="spellStart"/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Totale settore cultura 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variaz</w:t>
            </w:r>
            <w:proofErr w:type="spellEnd"/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. 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BERGAMO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138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496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231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            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203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1.923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1.871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>2,8%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BRESCIA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859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305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443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201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2.465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2.447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0,7%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COMO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214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            420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1.110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1.113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-0,3%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CREMONA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536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-2,0%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LECCO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590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-2,0%</w:t>
            </w:r>
          </w:p>
        </w:tc>
      </w:tr>
      <w:tr w:rsidR="00AD4F61" w:rsidRPr="00984D26" w:rsidTr="00AD4F61">
        <w:trPr>
          <w:trHeight w:val="3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LODI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254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-5,5%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MANTOVA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543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541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0,4%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MILANO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1.294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566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5.123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1.333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563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589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410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1.772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922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1.014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14.332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14.227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0,7%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MONZA E</w:t>
            </w:r>
          </w:p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BRIANZA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102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568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340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            1.636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1.618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>1,1%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PAVIA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753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745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1,1%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SONDRIO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184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9,2%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VARESE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 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263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144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1.314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1.312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Lombardia</w:t>
            </w:r>
          </w:p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1.945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238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            951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8.331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2.671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695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821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567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        4.266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2.152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281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1.911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</w:t>
            </w: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 xml:space="preserve">25.643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>21,6%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25.461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>0,7%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Tot.</w:t>
            </w:r>
          </w:p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Italia 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9.853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1.922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4.619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31.815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14.089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1.145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2.388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3.444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512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2.173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349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443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17.200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13.537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405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1.254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12.402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118.766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118.044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0,6%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peso % </w:t>
            </w:r>
          </w:p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su </w:t>
            </w:r>
            <w:proofErr w:type="spellStart"/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>26,2%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it-IT"/>
              </w:rPr>
              <w:t>24,8%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Lombardia</w:t>
            </w:r>
          </w:p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1.908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255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901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8.480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2.633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731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843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588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141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           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4.123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2.143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  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 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 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  252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1.836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         25.461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  <w:tr w:rsidR="00AD4F61" w:rsidRPr="00984D26" w:rsidTr="00AD4F6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variaz</w:t>
            </w:r>
            <w:proofErr w:type="spellEnd"/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. %</w:t>
            </w:r>
          </w:p>
          <w:p w:rsidR="00984D26" w:rsidRPr="00984D26" w:rsidRDefault="00984D26" w:rsidP="00984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per settore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-6,7%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-4,9%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nr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-11,6%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-7,5%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D26" w:rsidRPr="00984D26" w:rsidRDefault="00984D26" w:rsidP="0098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984D2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</w:tr>
    </w:tbl>
    <w:p w:rsidR="00984D26" w:rsidRPr="00984D26" w:rsidRDefault="00984D26" w:rsidP="00984D2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984D26">
        <w:rPr>
          <w:rFonts w:ascii="Times New Roman" w:eastAsia="Calibri" w:hAnsi="Times New Roman" w:cs="Times New Roman"/>
          <w:i/>
          <w:sz w:val="20"/>
          <w:szCs w:val="20"/>
        </w:rPr>
        <w:t>Elaborazione Camera di commercio di Milano su dati registro imprese 2016 e 2015</w:t>
      </w:r>
    </w:p>
    <w:p w:rsidR="009502FF" w:rsidRPr="00CC6D91" w:rsidRDefault="009502FF" w:rsidP="00984D2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9502FF" w:rsidRPr="00CC6D91" w:rsidSect="00AD4F6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5B"/>
    <w:rsid w:val="00024878"/>
    <w:rsid w:val="00033F18"/>
    <w:rsid w:val="00036C18"/>
    <w:rsid w:val="00047504"/>
    <w:rsid w:val="00052FAD"/>
    <w:rsid w:val="00061DB2"/>
    <w:rsid w:val="00065F9B"/>
    <w:rsid w:val="00081EDF"/>
    <w:rsid w:val="000A675B"/>
    <w:rsid w:val="000B3772"/>
    <w:rsid w:val="001034E3"/>
    <w:rsid w:val="0014109F"/>
    <w:rsid w:val="00152DEE"/>
    <w:rsid w:val="001B3CF9"/>
    <w:rsid w:val="001C19A6"/>
    <w:rsid w:val="001F0F47"/>
    <w:rsid w:val="00203FBD"/>
    <w:rsid w:val="00225FFF"/>
    <w:rsid w:val="00271000"/>
    <w:rsid w:val="002C0552"/>
    <w:rsid w:val="002E47F1"/>
    <w:rsid w:val="002F2EEE"/>
    <w:rsid w:val="00317574"/>
    <w:rsid w:val="003212CD"/>
    <w:rsid w:val="00336975"/>
    <w:rsid w:val="00346E72"/>
    <w:rsid w:val="003E3BF3"/>
    <w:rsid w:val="00401E30"/>
    <w:rsid w:val="004917AD"/>
    <w:rsid w:val="005121E2"/>
    <w:rsid w:val="00536B32"/>
    <w:rsid w:val="00542998"/>
    <w:rsid w:val="005541A8"/>
    <w:rsid w:val="00573A8F"/>
    <w:rsid w:val="00574965"/>
    <w:rsid w:val="0058059D"/>
    <w:rsid w:val="0059780D"/>
    <w:rsid w:val="005C0BBE"/>
    <w:rsid w:val="006525E9"/>
    <w:rsid w:val="0066332E"/>
    <w:rsid w:val="0068382B"/>
    <w:rsid w:val="006943AB"/>
    <w:rsid w:val="006E18B8"/>
    <w:rsid w:val="006F6C8D"/>
    <w:rsid w:val="00736370"/>
    <w:rsid w:val="007540BA"/>
    <w:rsid w:val="00765E64"/>
    <w:rsid w:val="007917BA"/>
    <w:rsid w:val="00794797"/>
    <w:rsid w:val="007E08A0"/>
    <w:rsid w:val="007F7C7C"/>
    <w:rsid w:val="00852FF7"/>
    <w:rsid w:val="008A015B"/>
    <w:rsid w:val="008E7950"/>
    <w:rsid w:val="008F0CCD"/>
    <w:rsid w:val="008F2B6B"/>
    <w:rsid w:val="008F5C49"/>
    <w:rsid w:val="009005C4"/>
    <w:rsid w:val="00900982"/>
    <w:rsid w:val="0093571C"/>
    <w:rsid w:val="009502FF"/>
    <w:rsid w:val="00982281"/>
    <w:rsid w:val="00984D26"/>
    <w:rsid w:val="00993219"/>
    <w:rsid w:val="009D5B6F"/>
    <w:rsid w:val="009F0D71"/>
    <w:rsid w:val="009F5F37"/>
    <w:rsid w:val="00A036E0"/>
    <w:rsid w:val="00A15ABB"/>
    <w:rsid w:val="00A2061D"/>
    <w:rsid w:val="00A43BF1"/>
    <w:rsid w:val="00A669A7"/>
    <w:rsid w:val="00A87178"/>
    <w:rsid w:val="00A87522"/>
    <w:rsid w:val="00AB6271"/>
    <w:rsid w:val="00AC0C4B"/>
    <w:rsid w:val="00AD4F61"/>
    <w:rsid w:val="00AE25A2"/>
    <w:rsid w:val="00AF0486"/>
    <w:rsid w:val="00B10D68"/>
    <w:rsid w:val="00B36312"/>
    <w:rsid w:val="00B373C4"/>
    <w:rsid w:val="00B4028B"/>
    <w:rsid w:val="00B65B3A"/>
    <w:rsid w:val="00B86F87"/>
    <w:rsid w:val="00B905A0"/>
    <w:rsid w:val="00BA06D3"/>
    <w:rsid w:val="00BC7E96"/>
    <w:rsid w:val="00BD09E0"/>
    <w:rsid w:val="00BD328A"/>
    <w:rsid w:val="00BE7BAE"/>
    <w:rsid w:val="00C076E0"/>
    <w:rsid w:val="00C71C90"/>
    <w:rsid w:val="00C75AED"/>
    <w:rsid w:val="00C860ED"/>
    <w:rsid w:val="00CA4C23"/>
    <w:rsid w:val="00CC6D91"/>
    <w:rsid w:val="00CD7620"/>
    <w:rsid w:val="00D16D65"/>
    <w:rsid w:val="00D3150E"/>
    <w:rsid w:val="00D3417F"/>
    <w:rsid w:val="00D41D97"/>
    <w:rsid w:val="00D52039"/>
    <w:rsid w:val="00D61904"/>
    <w:rsid w:val="00D855D6"/>
    <w:rsid w:val="00D9527B"/>
    <w:rsid w:val="00DB4B7C"/>
    <w:rsid w:val="00E02A3A"/>
    <w:rsid w:val="00E46760"/>
    <w:rsid w:val="00E52003"/>
    <w:rsid w:val="00E55D28"/>
    <w:rsid w:val="00E74D3B"/>
    <w:rsid w:val="00E937AA"/>
    <w:rsid w:val="00EA4D68"/>
    <w:rsid w:val="00EB6533"/>
    <w:rsid w:val="00EC4FF0"/>
    <w:rsid w:val="00EC7AB2"/>
    <w:rsid w:val="00EF102A"/>
    <w:rsid w:val="00F10F96"/>
    <w:rsid w:val="00F26920"/>
    <w:rsid w:val="00F4527C"/>
    <w:rsid w:val="00FA0C69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16D6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0E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46760"/>
    <w:pPr>
      <w:spacing w:after="0" w:line="240" w:lineRule="auto"/>
    </w:pPr>
  </w:style>
  <w:style w:type="numbering" w:customStyle="1" w:styleId="Nessunelenco1">
    <w:name w:val="Nessun elenco1"/>
    <w:next w:val="Nessunelenco"/>
    <w:uiPriority w:val="99"/>
    <w:semiHidden/>
    <w:unhideWhenUsed/>
    <w:rsid w:val="00984D26"/>
  </w:style>
  <w:style w:type="character" w:customStyle="1" w:styleId="apple-converted-space">
    <w:name w:val="apple-converted-space"/>
    <w:basedOn w:val="Carpredefinitoparagrafo"/>
    <w:rsid w:val="00984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16D6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0E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46760"/>
    <w:pPr>
      <w:spacing w:after="0" w:line="240" w:lineRule="auto"/>
    </w:pPr>
  </w:style>
  <w:style w:type="numbering" w:customStyle="1" w:styleId="Nessunelenco1">
    <w:name w:val="Nessun elenco1"/>
    <w:next w:val="Nessunelenco"/>
    <w:uiPriority w:val="99"/>
    <w:semiHidden/>
    <w:unhideWhenUsed/>
    <w:rsid w:val="00984D26"/>
  </w:style>
  <w:style w:type="character" w:customStyle="1" w:styleId="apple-converted-space">
    <w:name w:val="apple-converted-space"/>
    <w:basedOn w:val="Carpredefinitoparagrafo"/>
    <w:rsid w:val="0098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.camcom.it/eventi-dello-sportello-per-le-sponsorizzazioni-cultural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.camcom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DB6F-539B-4C95-A784-E6C71401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Croci</dc:creator>
  <cp:lastModifiedBy>Valentina Murgia</cp:lastModifiedBy>
  <cp:revision>4</cp:revision>
  <cp:lastPrinted>2015-03-26T11:06:00Z</cp:lastPrinted>
  <dcterms:created xsi:type="dcterms:W3CDTF">2017-02-13T10:42:00Z</dcterms:created>
  <dcterms:modified xsi:type="dcterms:W3CDTF">2017-02-13T10:50:00Z</dcterms:modified>
</cp:coreProperties>
</file>